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E60F" w14:textId="77777777" w:rsidR="00480D5B" w:rsidRDefault="00480D5B" w:rsidP="006A639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239D50A" w14:textId="6FAEBB85" w:rsidR="00403B42" w:rsidRDefault="00403B42" w:rsidP="006A639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dr hab. </w:t>
      </w:r>
      <w:r w:rsidR="00480D5B" w:rsidRPr="00403B42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Grzegorz Głód, prof. UE</w:t>
      </w:r>
    </w:p>
    <w:p w14:paraId="287C2615" w14:textId="27C84765" w:rsidR="00403B42" w:rsidRPr="00403B42" w:rsidRDefault="00480D5B" w:rsidP="006A6398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403B4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r w:rsidR="00403B42" w:rsidRPr="00403B4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Uniwersytet Ekonomiczny w Katowicach</w:t>
      </w:r>
      <w:r w:rsidR="00403B4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  <w:bookmarkStart w:id="0" w:name="_GoBack"/>
      <w:bookmarkEnd w:id="0"/>
    </w:p>
    <w:p w14:paraId="343ADC8F" w14:textId="18FE13AB" w:rsidR="00480D5B" w:rsidRDefault="00403B42" w:rsidP="006A6398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480D5B" w:rsidRPr="00403B42">
        <w:rPr>
          <w:rFonts w:ascii="Times New Roman" w:eastAsia="Times New Roman" w:hAnsi="Times New Roman" w:cs="Times New Roman"/>
          <w:iCs/>
          <w:color w:val="000000"/>
          <w:lang w:eastAsia="pl-PL"/>
        </w:rPr>
        <w:t>Katedra Przedsiębiorczości i Zarządzania Innowacyjnego</w:t>
      </w:r>
    </w:p>
    <w:p w14:paraId="66455186" w14:textId="77777777" w:rsidR="00403B42" w:rsidRPr="00403B42" w:rsidRDefault="00403B42" w:rsidP="006A639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</w:p>
    <w:p w14:paraId="3F194878" w14:textId="77777777" w:rsidR="00403B42" w:rsidRDefault="00403B42" w:rsidP="00480D5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 xml:space="preserve"> dr hab. </w:t>
      </w:r>
      <w:r w:rsidR="00480D5B" w:rsidRPr="00403B42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Tomasz Ingram, prof. UE</w:t>
      </w:r>
    </w:p>
    <w:p w14:paraId="3822C756" w14:textId="03381158" w:rsidR="00403B42" w:rsidRDefault="00403B42" w:rsidP="00480D5B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Uniwersytet Ekonomiczny w Katowicach </w:t>
      </w:r>
      <w:r w:rsidR="00480D5B" w:rsidRPr="00403B4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</w:t>
      </w:r>
    </w:p>
    <w:p w14:paraId="5D7E7491" w14:textId="25DEC4B3" w:rsidR="00480D5B" w:rsidRDefault="00403B42" w:rsidP="00480D5B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lang w:eastAsia="pl-PL"/>
        </w:rPr>
        <w:t xml:space="preserve"> </w:t>
      </w:r>
      <w:r w:rsidR="00480D5B" w:rsidRPr="00403B42">
        <w:rPr>
          <w:rFonts w:ascii="Times New Roman" w:eastAsia="Times New Roman" w:hAnsi="Times New Roman" w:cs="Times New Roman"/>
          <w:iCs/>
          <w:color w:val="000000"/>
          <w:lang w:eastAsia="pl-PL"/>
        </w:rPr>
        <w:t>Katedra Przedsiębiorczości i Zarządzania Innowacyjnego</w:t>
      </w:r>
    </w:p>
    <w:p w14:paraId="6E2CC956" w14:textId="77777777" w:rsidR="00403B42" w:rsidRPr="00403B42" w:rsidRDefault="00403B42" w:rsidP="00480D5B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lang w:eastAsia="pl-PL"/>
        </w:rPr>
      </w:pPr>
    </w:p>
    <w:p w14:paraId="2C2FD0F4" w14:textId="416FE68D" w:rsidR="00403B42" w:rsidRDefault="00403B42" w:rsidP="00480D5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7CEC74C1" w14:textId="617B1092" w:rsidR="00403B42" w:rsidRDefault="00403B42" w:rsidP="00403B4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</w:pPr>
      <w:r w:rsidRPr="00403B4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pl-PL"/>
        </w:rPr>
        <w:t>Przedsiębiorczość w starzejącym się społeczeństwie</w:t>
      </w:r>
    </w:p>
    <w:p w14:paraId="4937A94C" w14:textId="39851450" w:rsidR="00403B42" w:rsidRPr="00403B42" w:rsidRDefault="00403B42" w:rsidP="00403B42">
      <w:pPr>
        <w:spacing w:line="276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Streszczenie </w:t>
      </w:r>
    </w:p>
    <w:p w14:paraId="1383B320" w14:textId="7E17E4B3" w:rsidR="00AB43AE" w:rsidRPr="006A6398" w:rsidRDefault="00414FFC" w:rsidP="006A6398">
      <w:pPr>
        <w:spacing w:line="276" w:lineRule="auto"/>
        <w:jc w:val="both"/>
        <w:rPr>
          <w:rFonts w:ascii="Times New Roman" w:hAnsi="Times New Roman" w:cs="Times New Roman"/>
        </w:rPr>
      </w:pPr>
    </w:p>
    <w:p w14:paraId="7B4DC27B" w14:textId="77777777" w:rsidR="00DB1114" w:rsidRDefault="009A53AE" w:rsidP="006A6398">
      <w:pPr>
        <w:spacing w:line="276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</w:pPr>
      <w:r w:rsidRPr="006A6398">
        <w:rPr>
          <w:rFonts w:ascii="Times New Roman" w:hAnsi="Times New Roman" w:cs="Times New Roman"/>
        </w:rPr>
        <w:t>Społeczeństwa rozwinięte, w tym kraje Unii Europejskiej podlegają niekorzystnym trendom demograficznym – starzeją się</w:t>
      </w:r>
      <w:r w:rsidR="00B971E4" w:rsidRPr="006A6398">
        <w:rPr>
          <w:rFonts w:ascii="Times New Roman" w:hAnsi="Times New Roman" w:cs="Times New Roman"/>
        </w:rPr>
        <w:t xml:space="preserve"> (</w:t>
      </w:r>
      <w:proofErr w:type="spellStart"/>
      <w:r w:rsidR="00B971E4" w:rsidRPr="006A6398">
        <w:rPr>
          <w:rFonts w:ascii="Times New Roman" w:hAnsi="Times New Roman" w:cs="Times New Roman"/>
        </w:rPr>
        <w:t>Pham</w:t>
      </w:r>
      <w:proofErr w:type="spellEnd"/>
      <w:r w:rsidR="00B971E4" w:rsidRPr="006A6398">
        <w:rPr>
          <w:rFonts w:ascii="Times New Roman" w:hAnsi="Times New Roman" w:cs="Times New Roman"/>
        </w:rPr>
        <w:t xml:space="preserve"> i </w:t>
      </w:r>
      <w:proofErr w:type="spellStart"/>
      <w:r w:rsidR="00B971E4" w:rsidRPr="006A6398">
        <w:rPr>
          <w:rFonts w:ascii="Times New Roman" w:hAnsi="Times New Roman" w:cs="Times New Roman"/>
        </w:rPr>
        <w:t>Vo</w:t>
      </w:r>
      <w:proofErr w:type="spellEnd"/>
      <w:r w:rsidR="00B971E4" w:rsidRPr="006A6398">
        <w:rPr>
          <w:rFonts w:ascii="Times New Roman" w:hAnsi="Times New Roman" w:cs="Times New Roman"/>
        </w:rPr>
        <w:t>, 2021)</w:t>
      </w:r>
      <w:r w:rsidRPr="006A6398">
        <w:rPr>
          <w:rFonts w:ascii="Times New Roman" w:hAnsi="Times New Roman" w:cs="Times New Roman"/>
        </w:rPr>
        <w:t xml:space="preserve">. W państwach tych lawinowo rośnie zatem liczba osób w grupie wiekowej 50+, które z różnych względów </w:t>
      </w:r>
      <w:r w:rsidR="00CF5AE9" w:rsidRPr="006A6398">
        <w:rPr>
          <w:rFonts w:ascii="Times New Roman" w:hAnsi="Times New Roman" w:cs="Times New Roman"/>
        </w:rPr>
        <w:t xml:space="preserve">– w tym szeregu niekorzystnych stereotypów - </w:t>
      </w:r>
      <w:r w:rsidRPr="006A6398">
        <w:rPr>
          <w:rFonts w:ascii="Times New Roman" w:hAnsi="Times New Roman" w:cs="Times New Roman"/>
        </w:rPr>
        <w:t xml:space="preserve">nie są </w:t>
      </w:r>
      <w:r w:rsidR="00CF5AE9" w:rsidRPr="006A6398">
        <w:rPr>
          <w:rFonts w:ascii="Times New Roman" w:hAnsi="Times New Roman" w:cs="Times New Roman"/>
        </w:rPr>
        <w:t>atrakcyjne dla pracodawców</w:t>
      </w:r>
      <w:r w:rsidR="00202C1C" w:rsidRPr="006A6398">
        <w:rPr>
          <w:rFonts w:ascii="Times New Roman" w:hAnsi="Times New Roman" w:cs="Times New Roman"/>
        </w:rPr>
        <w:t xml:space="preserve"> (Li, Gong, </w:t>
      </w:r>
      <w:proofErr w:type="spellStart"/>
      <w:r w:rsidR="00202C1C" w:rsidRPr="006A6398">
        <w:rPr>
          <w:rFonts w:ascii="Times New Roman" w:hAnsi="Times New Roman" w:cs="Times New Roman"/>
        </w:rPr>
        <w:t>Burmeister</w:t>
      </w:r>
      <w:proofErr w:type="spellEnd"/>
      <w:r w:rsidR="00202C1C" w:rsidRPr="006A6398">
        <w:rPr>
          <w:rFonts w:ascii="Times New Roman" w:hAnsi="Times New Roman" w:cs="Times New Roman"/>
        </w:rPr>
        <w:t xml:space="preserve">, </w:t>
      </w:r>
      <w:proofErr w:type="spellStart"/>
      <w:r w:rsidR="00202C1C" w:rsidRPr="006A6398">
        <w:rPr>
          <w:rFonts w:ascii="Times New Roman" w:hAnsi="Times New Roman" w:cs="Times New Roman"/>
        </w:rPr>
        <w:t>Wang</w:t>
      </w:r>
      <w:proofErr w:type="spellEnd"/>
      <w:r w:rsidR="00202C1C" w:rsidRPr="006A6398">
        <w:rPr>
          <w:rFonts w:ascii="Times New Roman" w:hAnsi="Times New Roman" w:cs="Times New Roman"/>
        </w:rPr>
        <w:t xml:space="preserve">, </w:t>
      </w:r>
      <w:proofErr w:type="spellStart"/>
      <w:r w:rsidR="00202C1C" w:rsidRPr="006A6398">
        <w:rPr>
          <w:rFonts w:ascii="Times New Roman" w:hAnsi="Times New Roman" w:cs="Times New Roman"/>
        </w:rPr>
        <w:t>Alterman</w:t>
      </w:r>
      <w:proofErr w:type="spellEnd"/>
      <w:r w:rsidR="00202C1C" w:rsidRPr="006A6398">
        <w:rPr>
          <w:rFonts w:ascii="Times New Roman" w:hAnsi="Times New Roman" w:cs="Times New Roman"/>
        </w:rPr>
        <w:t xml:space="preserve">, Alonso i Robinson, 2021; </w:t>
      </w:r>
      <w:proofErr w:type="spellStart"/>
      <w:r w:rsidR="00202C1C" w:rsidRPr="006A6398">
        <w:rPr>
          <w:rFonts w:ascii="Times New Roman" w:hAnsi="Times New Roman" w:cs="Times New Roman"/>
        </w:rPr>
        <w:t>Macken</w:t>
      </w:r>
      <w:proofErr w:type="spellEnd"/>
      <w:r w:rsidR="00202C1C" w:rsidRPr="006A6398">
        <w:rPr>
          <w:rFonts w:ascii="Times New Roman" w:hAnsi="Times New Roman" w:cs="Times New Roman"/>
        </w:rPr>
        <w:t>, 2019)</w:t>
      </w:r>
      <w:r w:rsidR="00CF5AE9" w:rsidRPr="006A6398">
        <w:rPr>
          <w:rFonts w:ascii="Times New Roman" w:hAnsi="Times New Roman" w:cs="Times New Roman"/>
        </w:rPr>
        <w:t xml:space="preserve">. </w:t>
      </w:r>
      <w:r w:rsidR="006A6398" w:rsidRPr="006A6398">
        <w:rPr>
          <w:rFonts w:ascii="Times New Roman" w:hAnsi="Times New Roman" w:cs="Times New Roman"/>
        </w:rPr>
        <w:t>Przyczyny mniejszej atrakcyjności wynikają przede wszystkim z większej ostrożności i bardziej asekuracyjnym podejściu do ryzyka, mniejszej skłonności do spontanicznych zachowań i podejmowania ryzyka czy niższej twórczości i otwartości na zmiany (</w:t>
      </w:r>
      <w:proofErr w:type="spellStart"/>
      <w:r w:rsidR="006A6398" w:rsidRPr="006A6398">
        <w:rPr>
          <w:rFonts w:ascii="Times New Roman" w:hAnsi="Times New Roman" w:cs="Times New Roman"/>
        </w:rPr>
        <w:t>Rembiasz</w:t>
      </w:r>
      <w:proofErr w:type="spellEnd"/>
      <w:r w:rsidR="006A6398" w:rsidRPr="006A6398">
        <w:rPr>
          <w:rFonts w:ascii="Times New Roman" w:hAnsi="Times New Roman" w:cs="Times New Roman"/>
        </w:rPr>
        <w:t>, 2014, s. 168). Choć w</w:t>
      </w:r>
      <w:r w:rsidR="00CF5AE9" w:rsidRPr="006A6398">
        <w:rPr>
          <w:rFonts w:ascii="Times New Roman" w:hAnsi="Times New Roman" w:cs="Times New Roman"/>
        </w:rPr>
        <w:t xml:space="preserve">iększość dużych podmiotów gospodarczych tworzących miejsca pracy deklaratywnie wspiera postulaty dotyczące równouprawnienia i równych szans dla seniorów, jednak programy adresowane do tych grup pracowniczych dalej </w:t>
      </w:r>
      <w:r w:rsidR="00202C1C" w:rsidRPr="006A6398">
        <w:rPr>
          <w:rFonts w:ascii="Times New Roman" w:hAnsi="Times New Roman" w:cs="Times New Roman"/>
        </w:rPr>
        <w:t>nie są powszechne</w:t>
      </w:r>
      <w:r w:rsidR="00CF5AE9" w:rsidRPr="006A6398">
        <w:rPr>
          <w:rFonts w:ascii="Times New Roman" w:hAnsi="Times New Roman" w:cs="Times New Roman"/>
        </w:rPr>
        <w:t>. Wsparcie realizowane jest także na poziomie państwa, poprzez szereg inicjatyw zmierzających do aktywizacji rosnącej liczebnie grupy osób aktywnych zawodowo powyżej 50 roku życia</w:t>
      </w:r>
      <w:r w:rsidR="00202C1C" w:rsidRPr="006A6398">
        <w:rPr>
          <w:rFonts w:ascii="Times New Roman" w:hAnsi="Times New Roman" w:cs="Times New Roman"/>
        </w:rPr>
        <w:t xml:space="preserve"> (Niemi i </w:t>
      </w:r>
      <w:proofErr w:type="spellStart"/>
      <w:r w:rsidR="00202C1C" w:rsidRPr="006A6398">
        <w:rPr>
          <w:rFonts w:ascii="Times New Roman" w:hAnsi="Times New Roman" w:cs="Times New Roman"/>
        </w:rPr>
        <w:t>Komp-Leukkunen</w:t>
      </w:r>
      <w:proofErr w:type="spellEnd"/>
      <w:r w:rsidR="00202C1C" w:rsidRPr="006A6398">
        <w:rPr>
          <w:rFonts w:ascii="Times New Roman" w:hAnsi="Times New Roman" w:cs="Times New Roman"/>
        </w:rPr>
        <w:t>, 2021)</w:t>
      </w:r>
      <w:r w:rsidR="00CF5AE9" w:rsidRPr="006A6398">
        <w:rPr>
          <w:rFonts w:ascii="Times New Roman" w:hAnsi="Times New Roman" w:cs="Times New Roman"/>
        </w:rPr>
        <w:t xml:space="preserve">, niemniej długoterminowa skuteczność tych programów będzie mogła być trafnie oceniona dopiero po pewnym czasie, a pierwsze sygnały nie są jednoznacznie pozytywne. </w:t>
      </w:r>
      <w:r w:rsidR="00B971E4" w:rsidRPr="006A6398">
        <w:rPr>
          <w:rFonts w:ascii="Times New Roman" w:hAnsi="Times New Roman" w:cs="Times New Roman"/>
        </w:rPr>
        <w:t>Na tym tle pojawia się pytanie dotyczące</w:t>
      </w:r>
      <w:r w:rsidR="006A6398" w:rsidRPr="006A6398">
        <w:rPr>
          <w:rFonts w:ascii="Times New Roman" w:hAnsi="Times New Roman" w:cs="Times New Roman"/>
        </w:rPr>
        <w:t xml:space="preserve"> przyszłości osób starszych, których atrakcyjność na rynku pracy jest zdecydowanie niższa niż młodszej części społeczeństwa, a zwłaszcza </w:t>
      </w:r>
      <w:r w:rsidR="00B971E4" w:rsidRPr="006A6398">
        <w:rPr>
          <w:rFonts w:ascii="Times New Roman" w:hAnsi="Times New Roman" w:cs="Times New Roman"/>
        </w:rPr>
        <w:t xml:space="preserve">metod i technik aktywizacji lub utrzymania potencjału osób w grupie wiekowej 50+. </w:t>
      </w:r>
      <w:r w:rsidR="006A6398" w:rsidRPr="006A6398">
        <w:rPr>
          <w:rFonts w:ascii="Times New Roman" w:hAnsi="Times New Roman" w:cs="Times New Roman"/>
        </w:rPr>
        <w:t xml:space="preserve">W szczególności, dynamicznie zmieniający się rynek pracy oraz </w:t>
      </w:r>
      <w:r w:rsidR="00DB1114">
        <w:rPr>
          <w:rFonts w:ascii="Times New Roman" w:hAnsi="Times New Roman" w:cs="Times New Roman"/>
        </w:rPr>
        <w:t xml:space="preserve">wysoka mobilność kapitału ludzkiego (zwłaszcza młodszej części społeczeństwa), zmieniające się modele kariery skłaniają do zadania pytania dotyczącego możliwości promowania postaw przedsiębiorczych wśród starszej części społeczeństwa. W literaturze problematyka ta jest poruszana w ramach 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tak zwanej 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przedsiębiorczości </w:t>
      </w:r>
      <w:proofErr w:type="spellStart"/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inkluzywnej</w:t>
      </w:r>
      <w:proofErr w:type="spellEnd"/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. W idei tej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łączy się 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koncepcję 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przedsiębiorczo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ści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z partykularnymi grupami społecznymi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; mowa jest zatem o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przedsiębiorczoś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ci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seniorów, przedsiębiorczoś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ci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kobiet; przedsiębiorczość osób młodych, przedsiębiorczość imigrantów, przedsiębiorczość grup etnicznych, 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czy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bezrobotnych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(Wach 2015)</w:t>
      </w:r>
      <w:r w:rsidR="00B971E4" w:rsidRPr="00B971E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.</w:t>
      </w:r>
      <w:r w:rsidR="00DB1114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</w:t>
      </w:r>
    </w:p>
    <w:p w14:paraId="382A9DFA" w14:textId="6303E72B" w:rsidR="00B971E4" w:rsidRPr="00B971E4" w:rsidRDefault="00DB1114" w:rsidP="00DB111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>W artykule, na kanwie studiów literatury z obszaru przedsiębiorczości oraz aktywności zawodowej osób starszych</w:t>
      </w:r>
      <w:r w:rsidR="00480D5B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zamierzamy dokonać</w:t>
      </w:r>
      <w:r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porównania wymogów stawianych przedsiębiorcom oraz cech przypisywanych w badaniach osobom </w:t>
      </w:r>
      <w:r w:rsidR="00480D5B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reprezentującym starszą część społeczeństwa. Porównanie prowadzi do wskazania luk pomiędzy kompetencjach oczekiwanymi od przedsiębiorców i charakterystykami osób starszych. W artykule </w:t>
      </w:r>
      <w:r w:rsidR="00480D5B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lastRenderedPageBreak/>
        <w:t xml:space="preserve">wskazujemy również na mechanizmy sprzyjające likwidacji wskazanych różnic </w:t>
      </w:r>
      <w:r w:rsidR="00403B42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                               </w:t>
      </w:r>
      <w:r w:rsidR="00480D5B">
        <w:rPr>
          <w:rFonts w:ascii="Times New Roman" w:eastAsia="Times New Roman" w:hAnsi="Times New Roman" w:cs="Times New Roman"/>
          <w:color w:val="202124"/>
          <w:shd w:val="clear" w:color="auto" w:fill="FFFFFF"/>
          <w:lang w:eastAsia="pl-PL"/>
        </w:rPr>
        <w:t xml:space="preserve">w kompetencjach. </w:t>
      </w:r>
    </w:p>
    <w:p w14:paraId="290C145C" w14:textId="4F75CFBC" w:rsidR="00B971E4" w:rsidRPr="006A6398" w:rsidRDefault="00B971E4" w:rsidP="006A6398">
      <w:pPr>
        <w:spacing w:line="276" w:lineRule="auto"/>
        <w:jc w:val="both"/>
        <w:rPr>
          <w:rFonts w:ascii="Times New Roman" w:hAnsi="Times New Roman" w:cs="Times New Roman"/>
        </w:rPr>
      </w:pPr>
    </w:p>
    <w:p w14:paraId="38F55681" w14:textId="77777777" w:rsidR="00480D5B" w:rsidRPr="00403B42" w:rsidRDefault="00480D5B" w:rsidP="00480D5B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</w:pPr>
      <w:r w:rsidRPr="00202C1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Li, Y., Gong, Y., Burmeister, A., Wang, M., Alterman, V., Alonso, A., &amp; Robinson, S. (2021). Leveraging age diversity for organizational performance: An intellectual capital perspective. </w:t>
      </w:r>
      <w:r w:rsidRPr="00403B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pl-PL"/>
        </w:rPr>
        <w:t>Journal of Applied Psychology</w:t>
      </w:r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, </w:t>
      </w:r>
      <w:r w:rsidRPr="00403B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pl-PL"/>
        </w:rPr>
        <w:t>106</w:t>
      </w:r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(1), 71.</w:t>
      </w:r>
    </w:p>
    <w:p w14:paraId="37046835" w14:textId="77777777" w:rsidR="00480D5B" w:rsidRPr="00403B42" w:rsidRDefault="00480D5B" w:rsidP="00480D5B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</w:pPr>
      <w:proofErr w:type="spellStart"/>
      <w:r w:rsidRPr="00202C1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Mäcken</w:t>
      </w:r>
      <w:proofErr w:type="spellEnd"/>
      <w:r w:rsidRPr="00202C1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, J. (2019). Work stress among older employees in Germany: effects on health and retirement age. </w:t>
      </w:r>
      <w:proofErr w:type="spellStart"/>
      <w:r w:rsidRPr="00403B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pl-PL"/>
        </w:rPr>
        <w:t>PLoS</w:t>
      </w:r>
      <w:proofErr w:type="spellEnd"/>
      <w:r w:rsidRPr="00403B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pl-PL"/>
        </w:rPr>
        <w:t xml:space="preserve"> One</w:t>
      </w:r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, </w:t>
      </w:r>
      <w:r w:rsidRPr="00403B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pl-PL"/>
        </w:rPr>
        <w:t>14</w:t>
      </w:r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(2), e0211487.</w:t>
      </w:r>
    </w:p>
    <w:p w14:paraId="3F1E8ED3" w14:textId="77777777" w:rsidR="00480D5B" w:rsidRPr="00403B42" w:rsidRDefault="00480D5B" w:rsidP="00480D5B">
      <w:pPr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</w:pPr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 xml:space="preserve">Niemi, T., &amp; </w:t>
      </w:r>
      <w:proofErr w:type="spellStart"/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Komp-Leukkunen</w:t>
      </w:r>
      <w:proofErr w:type="spellEnd"/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 xml:space="preserve">, K. (2021). </w:t>
      </w:r>
      <w:r w:rsidRPr="00202C1C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The master narrative of older employees in changing workplaces. </w:t>
      </w:r>
      <w:r w:rsidRPr="00403B4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pl-PL"/>
        </w:rPr>
        <w:t>International Journal of Sociology and Social Policy</w:t>
      </w:r>
      <w:r w:rsidRPr="00403B42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.</w:t>
      </w:r>
    </w:p>
    <w:p w14:paraId="1259F8C4" w14:textId="77777777" w:rsidR="00480D5B" w:rsidRPr="00B971E4" w:rsidRDefault="00480D5B" w:rsidP="00480D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71E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val="en-US" w:eastAsia="pl-PL"/>
        </w:rPr>
        <w:t>Pham, T. N., &amp; Vo, D. H. (2021). Aging population and economic growth in developing countries: a quantile regression approach. </w:t>
      </w:r>
      <w:proofErr w:type="spellStart"/>
      <w:r w:rsidRPr="00B971E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Emerging</w:t>
      </w:r>
      <w:proofErr w:type="spellEnd"/>
      <w:r w:rsidRPr="00B971E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</w:t>
      </w:r>
      <w:proofErr w:type="spellStart"/>
      <w:r w:rsidRPr="00B971E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Markets</w:t>
      </w:r>
      <w:proofErr w:type="spellEnd"/>
      <w:r w:rsidRPr="00B971E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 xml:space="preserve"> Finance and Trade</w:t>
      </w:r>
      <w:r w:rsidRPr="00B971E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 </w:t>
      </w:r>
      <w:r w:rsidRPr="00B971E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pl-PL"/>
        </w:rPr>
        <w:t>57</w:t>
      </w:r>
      <w:r w:rsidRPr="00B971E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(1), 108-122.</w:t>
      </w:r>
    </w:p>
    <w:p w14:paraId="20A92EF4" w14:textId="0BC0D2A3" w:rsidR="00480D5B" w:rsidRPr="006A6398" w:rsidRDefault="00480D5B" w:rsidP="00480D5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A6398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>Rembiasz</w:t>
      </w:r>
      <w:proofErr w:type="spellEnd"/>
      <w:r w:rsidRPr="006A6398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 xml:space="preserve">, M. (2014). Dojrzała przedsiębiorczość-wybrane problemy. Zeszyty Naukowe Uniwersytetu Szczecińskiego. Ekonomiczne Problemy Usług, Uwarunkowania rynkowe rozwoju mikro, małych i średnich przedsiębiorstw. </w:t>
      </w:r>
      <w:proofErr w:type="spellStart"/>
      <w:r w:rsidRPr="006A6398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>Mikrofirma</w:t>
      </w:r>
      <w:proofErr w:type="spellEnd"/>
      <w:r w:rsidRPr="006A6398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 xml:space="preserve"> 2014, 165-174.</w:t>
      </w:r>
    </w:p>
    <w:p w14:paraId="157AFF84" w14:textId="3DDE5975" w:rsidR="00480D5B" w:rsidRPr="00480D5B" w:rsidRDefault="00480D5B" w:rsidP="00480D5B">
      <w:pPr>
        <w:jc w:val="both"/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</w:pPr>
      <w:r w:rsidRPr="00B971E4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 xml:space="preserve">Wach, K. (2015). Przedsiębiorczość seniorów jako komponent przedsiębiorczości </w:t>
      </w:r>
      <w:proofErr w:type="spellStart"/>
      <w:r w:rsidRPr="00B971E4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>inkluzywnej</w:t>
      </w:r>
      <w:proofErr w:type="spellEnd"/>
      <w:r w:rsidRPr="00B971E4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 xml:space="preserve">: wstępna synteza. Horyzonty </w:t>
      </w:r>
      <w:r w:rsidR="009625BD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>W</w:t>
      </w:r>
      <w:r w:rsidRPr="00B971E4">
        <w:rPr>
          <w:rFonts w:ascii="Times New Roman" w:eastAsia="Times New Roman" w:hAnsi="Times New Roman" w:cs="Times New Roman"/>
          <w:color w:val="202124"/>
          <w:sz w:val="20"/>
          <w:szCs w:val="20"/>
          <w:shd w:val="clear" w:color="auto" w:fill="FFFFFF"/>
          <w:lang w:eastAsia="pl-PL"/>
        </w:rPr>
        <w:t>ychowania, 14(32), 99-112.</w:t>
      </w:r>
    </w:p>
    <w:p w14:paraId="03D05147" w14:textId="77777777" w:rsidR="006A6398" w:rsidRPr="00202C1C" w:rsidRDefault="006A6398" w:rsidP="00202C1C">
      <w:pPr>
        <w:rPr>
          <w:rFonts w:ascii="Times New Roman" w:eastAsia="Times New Roman" w:hAnsi="Times New Roman" w:cs="Times New Roman"/>
          <w:lang w:eastAsia="pl-PL"/>
        </w:rPr>
      </w:pPr>
    </w:p>
    <w:p w14:paraId="2D04CD2C" w14:textId="77777777" w:rsidR="00202C1C" w:rsidRPr="00202C1C" w:rsidRDefault="00202C1C" w:rsidP="00202C1C">
      <w:pPr>
        <w:rPr>
          <w:rFonts w:ascii="Times New Roman" w:eastAsia="Times New Roman" w:hAnsi="Times New Roman" w:cs="Times New Roman"/>
          <w:lang w:eastAsia="pl-PL"/>
        </w:rPr>
      </w:pPr>
    </w:p>
    <w:p w14:paraId="7B9F958E" w14:textId="77777777" w:rsidR="00202C1C" w:rsidRPr="00202C1C" w:rsidRDefault="00202C1C" w:rsidP="00202C1C">
      <w:pPr>
        <w:rPr>
          <w:rFonts w:ascii="Times New Roman" w:eastAsia="Times New Roman" w:hAnsi="Times New Roman" w:cs="Times New Roman"/>
          <w:lang w:eastAsia="pl-PL"/>
        </w:rPr>
      </w:pPr>
    </w:p>
    <w:p w14:paraId="19E343EA" w14:textId="77777777" w:rsidR="00202C1C" w:rsidRPr="00B971E4" w:rsidRDefault="00202C1C" w:rsidP="00B971E4">
      <w:pPr>
        <w:rPr>
          <w:rFonts w:ascii="Times New Roman" w:eastAsia="Times New Roman" w:hAnsi="Times New Roman" w:cs="Times New Roman"/>
          <w:lang w:eastAsia="pl-PL"/>
        </w:rPr>
      </w:pPr>
    </w:p>
    <w:p w14:paraId="75AF2F9E" w14:textId="77777777" w:rsidR="00B971E4" w:rsidRDefault="00B971E4"/>
    <w:sectPr w:rsidR="00B971E4" w:rsidSect="0063332F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4647E" w14:textId="77777777" w:rsidR="00414FFC" w:rsidRDefault="00414FFC" w:rsidP="00421C70">
      <w:r>
        <w:separator/>
      </w:r>
    </w:p>
  </w:endnote>
  <w:endnote w:type="continuationSeparator" w:id="0">
    <w:p w14:paraId="3777AA7D" w14:textId="77777777" w:rsidR="00414FFC" w:rsidRDefault="00414FFC" w:rsidP="0042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300276"/>
      <w:docPartObj>
        <w:docPartGallery w:val="Page Numbers (Bottom of Page)"/>
        <w:docPartUnique/>
      </w:docPartObj>
    </w:sdtPr>
    <w:sdtContent>
      <w:p w14:paraId="7CB520D5" w14:textId="2575042D" w:rsidR="00421C70" w:rsidRDefault="00421C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56CF3" w14:textId="77777777" w:rsidR="00421C70" w:rsidRDefault="00421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11C5" w14:textId="77777777" w:rsidR="00414FFC" w:rsidRDefault="00414FFC" w:rsidP="00421C70">
      <w:r>
        <w:separator/>
      </w:r>
    </w:p>
  </w:footnote>
  <w:footnote w:type="continuationSeparator" w:id="0">
    <w:p w14:paraId="02350F8F" w14:textId="77777777" w:rsidR="00414FFC" w:rsidRDefault="00414FFC" w:rsidP="0042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E"/>
    <w:rsid w:val="00202C1C"/>
    <w:rsid w:val="00291DA4"/>
    <w:rsid w:val="002B34F1"/>
    <w:rsid w:val="00403B42"/>
    <w:rsid w:val="00414FFC"/>
    <w:rsid w:val="00421C70"/>
    <w:rsid w:val="00480D5B"/>
    <w:rsid w:val="0051640F"/>
    <w:rsid w:val="0063332F"/>
    <w:rsid w:val="00676739"/>
    <w:rsid w:val="006A6398"/>
    <w:rsid w:val="009625BD"/>
    <w:rsid w:val="00991514"/>
    <w:rsid w:val="009A53AE"/>
    <w:rsid w:val="009C4DAD"/>
    <w:rsid w:val="00B858A7"/>
    <w:rsid w:val="00B971E4"/>
    <w:rsid w:val="00C2459B"/>
    <w:rsid w:val="00CF5AE9"/>
    <w:rsid w:val="00DB1114"/>
    <w:rsid w:val="00E32CE5"/>
    <w:rsid w:val="00F6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1134"/>
  <w14:defaultImageDpi w14:val="32767"/>
  <w15:chartTrackingRefBased/>
  <w15:docId w15:val="{AE605AC6-B6C9-334D-831F-AB31C64E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71E4"/>
  </w:style>
  <w:style w:type="paragraph" w:styleId="Nagwek">
    <w:name w:val="header"/>
    <w:basedOn w:val="Normalny"/>
    <w:link w:val="NagwekZnak"/>
    <w:uiPriority w:val="99"/>
    <w:unhideWhenUsed/>
    <w:rsid w:val="00421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C70"/>
  </w:style>
  <w:style w:type="paragraph" w:styleId="Stopka">
    <w:name w:val="footer"/>
    <w:basedOn w:val="Normalny"/>
    <w:link w:val="StopkaZnak"/>
    <w:uiPriority w:val="99"/>
    <w:unhideWhenUsed/>
    <w:rsid w:val="00421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Wiesław Koczur</cp:lastModifiedBy>
  <cp:revision>3</cp:revision>
  <cp:lastPrinted>2022-06-15T20:06:00Z</cp:lastPrinted>
  <dcterms:created xsi:type="dcterms:W3CDTF">2022-03-24T10:02:00Z</dcterms:created>
  <dcterms:modified xsi:type="dcterms:W3CDTF">2022-06-15T20:06:00Z</dcterms:modified>
</cp:coreProperties>
</file>