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79" w:rsidRDefault="006D7579" w:rsidP="006D757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Łukasz Hardt</w:t>
      </w:r>
      <w:bookmarkStart w:id="0" w:name="_GoBack"/>
      <w:bookmarkEnd w:id="0"/>
    </w:p>
    <w:p w:rsidR="006D7579" w:rsidRDefault="006D7579" w:rsidP="006D757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D7579" w:rsidRPr="006D7579" w:rsidRDefault="006D7579" w:rsidP="006D7579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6D7579">
        <w:rPr>
          <w:rFonts w:ascii="Calibri" w:eastAsia="Times New Roman" w:hAnsi="Calibri" w:cs="Calibri"/>
          <w:lang w:eastAsia="pl-PL"/>
        </w:rPr>
        <w:t xml:space="preserve">Sytuacja finansowa rodzin zależy przede wszystkim od ich dochodów z pracy, których siła nabywcza określana jest poziomem cen w gospodarce. W najbliższym czasie, zgodnie z ostatnią projekcją inflacji NBP, dynamika realnych wynagrodzeń będzie ujemna. Towarzyszyć temu nie powinien istotny wzrost stopy bezrobocia. Dynamika wynagrodzeń jest silnie zróżnicowana pomiędzy sektorami gospodarki; natomiast wysoka inflacja jest szczególnie dotkliwa dla relatywnie bardziej ubogich gospodarstw domowych. Powyższe powoduje, że zasadne jest kontynuowanie różnego typu działań osłonowych („tarcz”) i ich coraz większe ukierunkowywanie na wsparcie gospodarstw domowych w najtrudniejszej sytuacji dochodowej. </w:t>
      </w:r>
    </w:p>
    <w:p w:rsidR="00034773" w:rsidRDefault="00034773"/>
    <w:sectPr w:rsidR="0003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79"/>
    <w:rsid w:val="00034773"/>
    <w:rsid w:val="006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9A04"/>
  <w15:chartTrackingRefBased/>
  <w15:docId w15:val="{08216CE0-5D12-43FE-A290-58408359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2022-10-17T12:17:00Z</dcterms:created>
  <dcterms:modified xsi:type="dcterms:W3CDTF">2022-10-17T12:17:00Z</dcterms:modified>
</cp:coreProperties>
</file>